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AD" w:rsidRDefault="00F065AD" w:rsidP="001A3FD1">
      <w:pPr>
        <w:spacing w:line="36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B69BD" w:rsidRPr="00CB69BD" w:rsidRDefault="00F065AD" w:rsidP="00F065AD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  <w:r w:rsidRPr="00CB69BD">
        <w:rPr>
          <w:rFonts w:ascii="Times New Roman" w:hAnsi="Times New Roman"/>
          <w:b/>
          <w:sz w:val="52"/>
          <w:szCs w:val="52"/>
        </w:rPr>
        <w:t xml:space="preserve">Программа </w:t>
      </w:r>
      <w:r w:rsidR="00CB69BD" w:rsidRPr="00CB69BD">
        <w:rPr>
          <w:rFonts w:ascii="Times New Roman" w:hAnsi="Times New Roman"/>
          <w:b/>
          <w:sz w:val="52"/>
          <w:szCs w:val="52"/>
        </w:rPr>
        <w:t>спортивного клуба</w:t>
      </w:r>
    </w:p>
    <w:p w:rsidR="00F065AD" w:rsidRPr="00CB69BD" w:rsidRDefault="006276E3" w:rsidP="00F065AD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  <w:r w:rsidRPr="00CB69BD">
        <w:rPr>
          <w:rFonts w:ascii="Times New Roman" w:hAnsi="Times New Roman"/>
          <w:b/>
          <w:sz w:val="52"/>
          <w:szCs w:val="52"/>
        </w:rPr>
        <w:t xml:space="preserve"> </w:t>
      </w:r>
      <w:r w:rsidR="00CB69BD" w:rsidRPr="00CB69BD">
        <w:rPr>
          <w:rFonts w:ascii="Times New Roman" w:hAnsi="Times New Roman"/>
          <w:b/>
          <w:sz w:val="52"/>
          <w:szCs w:val="52"/>
        </w:rPr>
        <w:t xml:space="preserve">«Шашки  и </w:t>
      </w:r>
      <w:r w:rsidR="001A3FD1" w:rsidRPr="00CB69BD">
        <w:rPr>
          <w:rFonts w:ascii="Times New Roman" w:hAnsi="Times New Roman"/>
          <w:b/>
          <w:sz w:val="52"/>
          <w:szCs w:val="52"/>
        </w:rPr>
        <w:t xml:space="preserve"> шахматы»</w:t>
      </w:r>
    </w:p>
    <w:p w:rsidR="00F065AD" w:rsidRPr="00CB69BD" w:rsidRDefault="00F065AD" w:rsidP="00F065AD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</w:p>
    <w:p w:rsidR="00F065AD" w:rsidRPr="00CB69BD" w:rsidRDefault="00F065AD" w:rsidP="00F065AD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Pr="0053044B" w:rsidRDefault="00F065AD" w:rsidP="00F065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065AD" w:rsidRDefault="00F065AD" w:rsidP="00CB69BD">
      <w:pPr>
        <w:pStyle w:val="a4"/>
        <w:tabs>
          <w:tab w:val="left" w:pos="699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Руководитель: </w:t>
      </w:r>
    </w:p>
    <w:p w:rsidR="00682EDB" w:rsidRDefault="00A72F78" w:rsidP="00CB69BD">
      <w:pPr>
        <w:pStyle w:val="a4"/>
        <w:tabs>
          <w:tab w:val="left" w:pos="699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Вирт О.И</w:t>
      </w:r>
      <w:bookmarkStart w:id="0" w:name="_GoBack"/>
      <w:bookmarkEnd w:id="0"/>
      <w:r w:rsidR="00682EDB">
        <w:rPr>
          <w:rFonts w:ascii="Times New Roman" w:hAnsi="Times New Roman"/>
          <w:b/>
          <w:sz w:val="28"/>
          <w:szCs w:val="28"/>
        </w:rPr>
        <w:t>.</w:t>
      </w:r>
    </w:p>
    <w:p w:rsidR="00F065AD" w:rsidRPr="00876032" w:rsidRDefault="00F065AD" w:rsidP="00F065AD"/>
    <w:p w:rsidR="00F065AD" w:rsidRPr="00876032" w:rsidRDefault="00F065AD" w:rsidP="00F065AD"/>
    <w:p w:rsidR="00F065AD" w:rsidRPr="00876032" w:rsidRDefault="00F065AD" w:rsidP="00F065AD"/>
    <w:p w:rsidR="00F065AD" w:rsidRPr="00876032" w:rsidRDefault="00F065AD" w:rsidP="00F065AD"/>
    <w:p w:rsidR="00F065AD" w:rsidRPr="00876032" w:rsidRDefault="00F065A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65AD" w:rsidRDefault="00F065A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65AD" w:rsidRDefault="00F065A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B69BD" w:rsidRDefault="00CB69B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B69BD" w:rsidRDefault="00CB69B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B69BD" w:rsidRDefault="00CB69B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82EDB" w:rsidRDefault="00682EDB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65AD" w:rsidRPr="00876032" w:rsidRDefault="00CB69BD" w:rsidP="00F065AD">
      <w:pPr>
        <w:tabs>
          <w:tab w:val="left" w:pos="3975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ахарово</w:t>
      </w:r>
      <w:proofErr w:type="spellEnd"/>
    </w:p>
    <w:p w:rsidR="00F065AD" w:rsidRDefault="00F065AD" w:rsidP="00F065AD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065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F065AD" w:rsidRDefault="00F065AD" w:rsidP="00DB300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65A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В современном обществе целью развития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подростков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является всестороннее гармоничное развитие личности. Игра - ведущий вид деятельности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в которой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подросток 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учи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>тся, развивается, растет. Тем не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 менее, настольные игры уже давно уступили место компьютерным, за которыми 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подростки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готовы просиживать часами. Компьютер не заменит непосредственного живого  общения. Дух партнёрства, товарищества, а позже и соперничества, который возникает при обучении, а затем во время настольных интеллектуальных игр, сложно переоценить. Настольные игры, одной из которых являются ша</w:t>
      </w:r>
      <w:r w:rsidR="00CB2208">
        <w:rPr>
          <w:rFonts w:ascii="Times New Roman" w:hAnsi="Times New Roman"/>
          <w:sz w:val="28"/>
          <w:szCs w:val="28"/>
          <w:shd w:val="clear" w:color="auto" w:fill="FFFFFF"/>
        </w:rPr>
        <w:t>хматы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, развивают 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мышление, память,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внимание, творческое воображение, наблюдательность, строгую последовательность рассуждений. На протяжении обучения 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подростки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овладевают важными логическими операциями: анализом и синтезом, сравнением, обобщением, обоснованием выводов.</w:t>
      </w:r>
      <w:r w:rsidRPr="00F065AD">
        <w:rPr>
          <w:rFonts w:ascii="Times New Roman" w:hAnsi="Times New Roman"/>
          <w:sz w:val="28"/>
          <w:szCs w:val="28"/>
        </w:rPr>
        <w:br/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Игра в шахматы и шашки – очень мощный инструмент полноценного развития интеллекта в игровой форме. Для 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подростка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это не только игра, доставляющая много радости, но и эффективное средст</w:t>
      </w:r>
      <w:r w:rsidR="00CB2208">
        <w:rPr>
          <w:rFonts w:ascii="Times New Roman" w:hAnsi="Times New Roman"/>
          <w:sz w:val="28"/>
          <w:szCs w:val="28"/>
          <w:shd w:val="clear" w:color="auto" w:fill="FFFFFF"/>
        </w:rPr>
        <w:t>во самовоспитания. Обучение игре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 в шахматы и шашки способствует умению ориентироваться на плоскости; развитию мышления, внимательности, усидчивости, собранности, самостоятельности, запоминанию; учит сравнивать, обобщать. </w:t>
      </w:r>
      <w:r w:rsidRPr="00F065AD">
        <w:rPr>
          <w:rFonts w:ascii="Times New Roman" w:hAnsi="Times New Roman"/>
          <w:sz w:val="28"/>
          <w:szCs w:val="28"/>
        </w:rPr>
        <w:br/>
      </w:r>
      <w:r w:rsidR="001A3FD1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Шашки и шахматы - замечательный повод для общения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, способствующий углублению взаимопонимания, укреплению дружеских отношений.</w:t>
      </w:r>
      <w:proofErr w:type="gramEnd"/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 Не случайно девизом Всемирной шахматной федерации являются слова «Все мы одна семья». Шашечное и шахматное творчество научит 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обучающихся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использовать свою смекалку и в других областях человеческой деятельности, научить думать. Отличительной особенностью рабочей программы является большой акцент на начальную подготовку</w:t>
      </w:r>
      <w:r w:rsidR="001A3FD1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обучающихся,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начинающих с «нуля».</w:t>
      </w:r>
      <w:r w:rsidR="001A3FD1">
        <w:rPr>
          <w:rFonts w:ascii="Times New Roman" w:hAnsi="Times New Roman"/>
          <w:sz w:val="28"/>
          <w:szCs w:val="28"/>
        </w:rPr>
        <w:t xml:space="preserve">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Программа занятий кружка «Шашки-шахматы» предусматривает усвоение основ знаний по теории и практике игры в шашки и шахматы, приближает начинающего шашиста и шахматиста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 умению мысленно рассуждать, анализировать, строить на шашечной и шахматной доске остроумные комбинации, предвидеть замыслы партнера. </w:t>
      </w:r>
      <w:r w:rsidRPr="00F065AD">
        <w:rPr>
          <w:rFonts w:ascii="Times New Roman" w:hAnsi="Times New Roman"/>
          <w:sz w:val="28"/>
          <w:szCs w:val="28"/>
        </w:rPr>
        <w:br/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Шахматная и шашечная игра дарят 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подростку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радость творчества и обогащают его духовный мир. Эти удивительные игры становятся средством воспитания и обучения, причем ненавязчивого, интересного, увлекательного.</w:t>
      </w:r>
      <w:r w:rsidRPr="00F065AD">
        <w:rPr>
          <w:rFonts w:ascii="Times New Roman" w:hAnsi="Times New Roman"/>
          <w:sz w:val="28"/>
          <w:szCs w:val="28"/>
        </w:rPr>
        <w:br/>
      </w:r>
      <w:r w:rsidRPr="00F065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Цель: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 xml:space="preserve">Ознакомление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с основами теории и практики игры в шашки и шахматы. </w:t>
      </w:r>
      <w:r w:rsidRPr="00F065AD">
        <w:rPr>
          <w:rFonts w:ascii="Times New Roman" w:hAnsi="Times New Roman"/>
          <w:sz w:val="28"/>
          <w:szCs w:val="28"/>
        </w:rPr>
        <w:br/>
      </w:r>
      <w:r w:rsidRPr="00F065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Задачи: 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ормировать представление о правилах игры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DB3005">
        <w:rPr>
          <w:rFonts w:ascii="Times New Roman" w:hAnsi="Times New Roman"/>
          <w:sz w:val="28"/>
          <w:szCs w:val="28"/>
        </w:rPr>
        <w:t xml:space="preserve"> о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бучать простым комбинациям и ходам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>; у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чить ориентироваться на плоскости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производить расчеты на несколько ходов вперёд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>; п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 xml:space="preserve">риобщать 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подростков 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к спортивно – творческой игре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>; ф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ормировать отношение к игре в шашки и шахматы как к интеллектуальному досугу в семье и</w:t>
      </w:r>
      <w:r w:rsidR="00DB3005">
        <w:rPr>
          <w:rFonts w:ascii="Times New Roman" w:hAnsi="Times New Roman"/>
          <w:sz w:val="28"/>
          <w:szCs w:val="28"/>
          <w:shd w:val="clear" w:color="auto" w:fill="FFFFFF"/>
        </w:rPr>
        <w:t xml:space="preserve"> лицее;</w:t>
      </w:r>
      <w:r w:rsidR="00DB3005">
        <w:rPr>
          <w:rFonts w:ascii="Times New Roman" w:hAnsi="Times New Roman"/>
          <w:sz w:val="28"/>
          <w:szCs w:val="28"/>
        </w:rPr>
        <w:t xml:space="preserve"> в</w:t>
      </w:r>
      <w:r w:rsidRPr="00F065AD">
        <w:rPr>
          <w:rFonts w:ascii="Times New Roman" w:hAnsi="Times New Roman"/>
          <w:sz w:val="28"/>
          <w:szCs w:val="28"/>
          <w:shd w:val="clear" w:color="auto" w:fill="FFFFFF"/>
        </w:rPr>
        <w:t>оспитывать настойчивость, целеустремленность, находчивость, внимательность, уверенность, волю.</w:t>
      </w:r>
    </w:p>
    <w:p w:rsidR="00DB3005" w:rsidRPr="00DB3005" w:rsidRDefault="00DB3005" w:rsidP="00DB300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65AD" w:rsidRPr="00DB3005" w:rsidRDefault="00F065AD" w:rsidP="00DB30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005">
        <w:rPr>
          <w:rFonts w:ascii="Times New Roman" w:hAnsi="Times New Roman" w:cs="Times New Roman"/>
          <w:b/>
          <w:sz w:val="28"/>
          <w:szCs w:val="28"/>
        </w:rPr>
        <w:t>Календарно-тематический план занятий по шахматам и шашкам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8674"/>
      </w:tblGrid>
      <w:tr w:rsidR="00CB69BD" w:rsidRPr="00F065AD" w:rsidTr="00CB69BD">
        <w:trPr>
          <w:trHeight w:val="483"/>
        </w:trPr>
        <w:tc>
          <w:tcPr>
            <w:tcW w:w="648" w:type="dxa"/>
            <w:vMerge w:val="restart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№</w:t>
            </w:r>
          </w:p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F065AD">
              <w:rPr>
                <w:sz w:val="28"/>
                <w:szCs w:val="28"/>
              </w:rPr>
              <w:t>п</w:t>
            </w:r>
            <w:proofErr w:type="gramEnd"/>
            <w:r w:rsidRPr="00F065AD">
              <w:rPr>
                <w:sz w:val="28"/>
                <w:szCs w:val="28"/>
              </w:rPr>
              <w:t>/п</w:t>
            </w:r>
          </w:p>
        </w:tc>
        <w:tc>
          <w:tcPr>
            <w:tcW w:w="8674" w:type="dxa"/>
            <w:vMerge w:val="restart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Название</w:t>
            </w:r>
          </w:p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темы</w:t>
            </w:r>
          </w:p>
        </w:tc>
      </w:tr>
      <w:tr w:rsidR="00CB69BD" w:rsidRPr="00F065AD" w:rsidTr="00CB69BD">
        <w:trPr>
          <w:trHeight w:val="483"/>
        </w:trPr>
        <w:tc>
          <w:tcPr>
            <w:tcW w:w="648" w:type="dxa"/>
            <w:vMerge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74" w:type="dxa"/>
            <w:vMerge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История шашек и шахмат. Название фигур.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Шахматная и шашечная доска. Начальное положение фигур. Название и сила фигур.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Правила шашечной игры. Начало партий: «Городская партия», «Обратная городская партия».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Начало партий: «Кол», «Обратный кол»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Ловушки в начале партии. Первая и вторая ловушка.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Ловушки в начале партии. Третья и четвертая ловушка.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Ловушки в начале партии. Пятая и шестая ловушка.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Шашечные окончания. Четыре дамки против одной.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Шашечные окончания. Три дамки против одной.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74" w:type="dxa"/>
          </w:tcPr>
          <w:p w:rsidR="00CB69BD" w:rsidRPr="00F065AD" w:rsidRDefault="00CB69BD" w:rsidP="00DB3005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 xml:space="preserve">Учебные игры в шашки и участие в </w:t>
            </w:r>
            <w:proofErr w:type="spellStart"/>
            <w:r>
              <w:rPr>
                <w:sz w:val="28"/>
                <w:szCs w:val="28"/>
              </w:rPr>
              <w:t>лицейных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65AD">
              <w:rPr>
                <w:sz w:val="28"/>
                <w:szCs w:val="28"/>
              </w:rPr>
              <w:t>соревнованиях по русским шашкам.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Правила шахматной игры. Ходы фигур. Взятие фигур.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 xml:space="preserve">Шах и мат. Ничья. 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Начало партии «Детский мат»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Начало партии «Скандинавская партия»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Начало партии «</w:t>
            </w:r>
            <w:proofErr w:type="spellStart"/>
            <w:r w:rsidRPr="00F065AD">
              <w:rPr>
                <w:sz w:val="28"/>
                <w:szCs w:val="28"/>
              </w:rPr>
              <w:t>Сицилианская</w:t>
            </w:r>
            <w:proofErr w:type="spellEnd"/>
            <w:r w:rsidRPr="00F065AD">
              <w:rPr>
                <w:sz w:val="28"/>
                <w:szCs w:val="28"/>
              </w:rPr>
              <w:t xml:space="preserve"> защита»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Мат одинокому королю. Ладейные  окончания.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Мат одинокому королю. Ферзь, ладья и король против короля.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74" w:type="dxa"/>
          </w:tcPr>
          <w:p w:rsidR="00CB69BD" w:rsidRPr="00F065AD" w:rsidRDefault="00CB69BD" w:rsidP="00DB3005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 xml:space="preserve">Учебные игры и участие в </w:t>
            </w:r>
            <w:proofErr w:type="spellStart"/>
            <w:r>
              <w:rPr>
                <w:sz w:val="28"/>
                <w:szCs w:val="28"/>
              </w:rPr>
              <w:t>лицейных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F065AD">
              <w:rPr>
                <w:sz w:val="28"/>
                <w:szCs w:val="28"/>
              </w:rPr>
              <w:t>соревнованиях по шахматам.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Рокировка. Бой и защита. Размен. Сравнительная сила фигур.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Пешечные окончания.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Слоновые окончания.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Коневые окончания.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Ферзь против пешки.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Ладья против пешки.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Ферзь против ладьи.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Учебные игры в шахматы.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Начало партии в игре шашки. Повторение начало «Городская партия», «Обратная городская партия», «Кол» и «Обратный кол»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674" w:type="dxa"/>
          </w:tcPr>
          <w:p w:rsidR="00CB69BD" w:rsidRPr="00F065AD" w:rsidRDefault="00CB69BD" w:rsidP="00615AD0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Учебные игры по шахматам и по русским шашкам</w:t>
            </w:r>
            <w:r>
              <w:rPr>
                <w:sz w:val="28"/>
                <w:szCs w:val="28"/>
              </w:rPr>
              <w:t>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Ловушки в начале партии в игре шашки.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Шашечные окончания.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Дебюты в игре шахматы</w:t>
            </w:r>
          </w:p>
        </w:tc>
      </w:tr>
      <w:tr w:rsidR="00CB69BD" w:rsidRPr="00F065AD" w:rsidTr="00CB69BD">
        <w:tc>
          <w:tcPr>
            <w:tcW w:w="648" w:type="dxa"/>
          </w:tcPr>
          <w:p w:rsidR="00CB69BD" w:rsidRPr="00F065AD" w:rsidRDefault="00CB69BD" w:rsidP="00F065A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674" w:type="dxa"/>
          </w:tcPr>
          <w:p w:rsidR="00CB69BD" w:rsidRPr="00F065AD" w:rsidRDefault="00CB69BD" w:rsidP="00F065AD">
            <w:pPr>
              <w:spacing w:line="360" w:lineRule="auto"/>
              <w:rPr>
                <w:sz w:val="28"/>
                <w:szCs w:val="28"/>
              </w:rPr>
            </w:pPr>
            <w:r w:rsidRPr="00F065AD">
              <w:rPr>
                <w:sz w:val="28"/>
                <w:szCs w:val="28"/>
              </w:rPr>
              <w:t>Учебные игры по шахматам и по русским шашкам.</w:t>
            </w:r>
          </w:p>
        </w:tc>
      </w:tr>
    </w:tbl>
    <w:p w:rsidR="00CB69BD" w:rsidRDefault="00CB69BD" w:rsidP="005856BE">
      <w:pPr>
        <w:spacing w:line="360" w:lineRule="auto"/>
        <w:ind w:left="3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B69BD" w:rsidRDefault="00DB3005" w:rsidP="005856BE">
      <w:pPr>
        <w:spacing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Организация </w:t>
      </w:r>
      <w:r w:rsidR="005856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кружковых </w:t>
      </w:r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занятий по шашкам и шахматам.</w:t>
      </w:r>
      <w:r w:rsidRPr="00DB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5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по шашкам и шахматам планируется проводить по принципу от простого объяснения </w:t>
      </w:r>
      <w:proofErr w:type="gramStart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сложному. Занятия проводятся комбинированным способом, чередуя элементы теоретической и практической новизны с игровыми и соревновательными навыками, а также с воспитательными мероприятиями. В процессе занятий шашками и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шахматами </w:t>
      </w:r>
      <w:r w:rsidR="00615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получают целый комплекс полезных умений и навыков, необходимых в практической деятельности и жизни. В </w:t>
      </w:r>
      <w:r w:rsidR="00CB2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течение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учебного года рекомендуется проводить шашечные и шахматные турниры, </w:t>
      </w:r>
      <w:r w:rsidR="00CB2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отмечать победителей и участников дипломами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2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</w:t>
      </w:r>
      <w:r w:rsidR="00CB2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ами. </w:t>
      </w:r>
      <w:r w:rsidR="00CB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</w:t>
      </w:r>
      <w:r w:rsidR="00876C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раз в неделю. Продолжительность занятия</w:t>
      </w:r>
      <w:r w:rsidR="00585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 мин.</w:t>
      </w:r>
    </w:p>
    <w:p w:rsidR="005856BE" w:rsidRDefault="00DB3005" w:rsidP="005856BE">
      <w:pPr>
        <w:spacing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Формы </w:t>
      </w:r>
      <w:r w:rsidR="00CB22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подведения </w:t>
      </w:r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итогов реализации программы:</w:t>
      </w:r>
      <w:r w:rsidRPr="00DB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творческий отчет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руководителя;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</w:t>
      </w:r>
      <w:r w:rsidR="00CB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школьных и сельских</w:t>
      </w:r>
      <w:r w:rsidR="00585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соревнованиях</w:t>
      </w:r>
      <w:r w:rsidR="00585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тренировочных туров, викторин, соревнований.</w:t>
      </w:r>
      <w:r w:rsidRPr="00DB30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Результатом осво</w:t>
      </w:r>
      <w:r w:rsidR="005856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ения программы являются целевые </w:t>
      </w:r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ориентиры: </w:t>
      </w:r>
      <w:r w:rsidR="005856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 шахматных и шашечных терминов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названий шахматных фигур;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правил шашечной и шахматной игры;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ориентироваться на шашечной и шахматной досках;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расставлять шашки и шахматные фигуры перед игрой;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перемещать фигуры по горизонтали, вертикали, диагонали;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решать элементарные задачи на взятие и защиту фигур;</w:t>
      </w:r>
      <w:proofErr w:type="gramEnd"/>
      <w:r w:rsidR="00585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общения и самоконтроля;</w:t>
      </w:r>
      <w:r w:rsidR="0058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ряда качеств: усидчивость, сосредоточенность, последовательность рассуждений, изобретательность, умение анализировать, абстрактно и логически мыслить, применять фантазию.</w:t>
      </w:r>
    </w:p>
    <w:p w:rsidR="00F065AD" w:rsidRPr="009F3F69" w:rsidRDefault="00DB3005" w:rsidP="009F3F6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используемой литературы:</w:t>
      </w:r>
      <w:r w:rsidRPr="00DB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Борис </w:t>
      </w:r>
      <w:proofErr w:type="spellStart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Грцензон</w:t>
      </w:r>
      <w:proofErr w:type="spellEnd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Андрей </w:t>
      </w:r>
      <w:proofErr w:type="spellStart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Напереенков</w:t>
      </w:r>
      <w:proofErr w:type="spellEnd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«Шашки – это интересно»</w:t>
      </w:r>
      <w:r w:rsidR="009F3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Издательство «Детская литература» 1989 г.;</w:t>
      </w:r>
      <w:r w:rsidRPr="00DB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Каплунов Я.Л. «Секреты шашечного сундучка»</w:t>
      </w:r>
      <w:r w:rsidR="009F3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Санкт-Петербург, 2001 г.;</w:t>
      </w:r>
      <w:r w:rsidRPr="00DB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Р. </w:t>
      </w:r>
      <w:proofErr w:type="spellStart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Нежметдинов</w:t>
      </w:r>
      <w:proofErr w:type="spellEnd"/>
      <w:r w:rsidRPr="00DB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«Шахматы» Казань 1985 г.</w:t>
      </w:r>
      <w:r w:rsidR="009F3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F065AD" w:rsidRPr="00F065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065AD" w:rsidRPr="00F065AD">
        <w:rPr>
          <w:rFonts w:ascii="Times New Roman" w:hAnsi="Times New Roman" w:cs="Times New Roman"/>
          <w:sz w:val="28"/>
          <w:szCs w:val="28"/>
        </w:rPr>
        <w:t>В.Зак</w:t>
      </w:r>
      <w:proofErr w:type="spellEnd"/>
      <w:r w:rsidR="00F065AD" w:rsidRPr="00F0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65AD" w:rsidRPr="00F065AD">
        <w:rPr>
          <w:rFonts w:ascii="Times New Roman" w:hAnsi="Times New Roman" w:cs="Times New Roman"/>
          <w:sz w:val="28"/>
          <w:szCs w:val="28"/>
        </w:rPr>
        <w:t>Я.Длуголенский</w:t>
      </w:r>
      <w:proofErr w:type="spellEnd"/>
      <w:r w:rsidR="00F065AD" w:rsidRPr="00F065AD">
        <w:rPr>
          <w:rFonts w:ascii="Times New Roman" w:hAnsi="Times New Roman" w:cs="Times New Roman"/>
          <w:sz w:val="28"/>
          <w:szCs w:val="28"/>
        </w:rPr>
        <w:t xml:space="preserve"> «Отдать, чтобы найти», издательство «Детская литература», </w:t>
      </w:r>
      <w:smartTag w:uri="urn:schemas-microsoft-com:office:smarttags" w:element="metricconverter">
        <w:smartTagPr>
          <w:attr w:name="ProductID" w:val="1988 г"/>
        </w:smartTagPr>
        <w:r w:rsidR="00F065AD" w:rsidRPr="00F065AD">
          <w:rPr>
            <w:rFonts w:ascii="Times New Roman" w:hAnsi="Times New Roman" w:cs="Times New Roman"/>
            <w:sz w:val="28"/>
            <w:szCs w:val="28"/>
          </w:rPr>
          <w:t>1988 г</w:t>
        </w:r>
      </w:smartTag>
      <w:r w:rsidR="00F065AD" w:rsidRPr="00F065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65AD" w:rsidRPr="00F065AD" w:rsidRDefault="00F065AD" w:rsidP="009F3F69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065AD" w:rsidRPr="00F065AD" w:rsidRDefault="00F065AD" w:rsidP="00F065A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065AD" w:rsidRPr="00F065AD" w:rsidRDefault="00F065AD" w:rsidP="00F065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2626" w:rsidRPr="00F065AD" w:rsidRDefault="00F42626" w:rsidP="00F065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42626" w:rsidRPr="00F065AD" w:rsidSect="001A3F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B37"/>
    <w:multiLevelType w:val="hybridMultilevel"/>
    <w:tmpl w:val="D9D8F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913FD"/>
    <w:multiLevelType w:val="hybridMultilevel"/>
    <w:tmpl w:val="C4940248"/>
    <w:lvl w:ilvl="0" w:tplc="78EC9C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65AD"/>
    <w:rsid w:val="001A3FD1"/>
    <w:rsid w:val="00340B02"/>
    <w:rsid w:val="005856BE"/>
    <w:rsid w:val="00615AD0"/>
    <w:rsid w:val="006276E3"/>
    <w:rsid w:val="00682EDB"/>
    <w:rsid w:val="00876CDB"/>
    <w:rsid w:val="009F3F69"/>
    <w:rsid w:val="00A72F78"/>
    <w:rsid w:val="00A851B4"/>
    <w:rsid w:val="00CB2208"/>
    <w:rsid w:val="00CB69BD"/>
    <w:rsid w:val="00DB3005"/>
    <w:rsid w:val="00F065AD"/>
    <w:rsid w:val="00F4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65AD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Emphasis"/>
    <w:basedOn w:val="a0"/>
    <w:uiPriority w:val="20"/>
    <w:qFormat/>
    <w:rsid w:val="00F065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2017-12-19T06:11:00Z</dcterms:created>
  <dcterms:modified xsi:type="dcterms:W3CDTF">2023-09-29T13:13:00Z</dcterms:modified>
</cp:coreProperties>
</file>